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080855.xml.htm"/>
      <w:bookmarkStart w:id="1" w:name="ksform408102026_0808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VanHimbergen Robert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ELANCO ANIMAL HEALTH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ELANCO CIRCLE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Elanco Animal Health Inc</w:t>
              </w:r>
            </w:hyperlink>
            <w:r>
              <w:rPr/>
              <w:t xml:space="preserve"> [ </w:t>
            </w:r>
            <w:r>
              <w:rPr>
                <w:rFonts w:ascii="Times;serif" w:hAnsi="Times;serif"/>
                <w:color w:val="0000FF"/>
                <w:sz w:val="24"/>
                <w:shd w:fill="FFFFFF" w:val="clear"/>
              </w:rPr>
              <w:t>ELAN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23.0776</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137,516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8.9069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22.12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133.6048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weighted average price of 4,200 shares of common stock of Elanco Animal Health Inc. purchased by the reporting person in multiple transactions on August 7, 2026 with purchase prices ranging from $23.01 to $23.09 per share. The reporting person undertakes to provide upon request by the U.S. Securities and Exchange Commission staff, the issuer, or a security holder of the issuer,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right to receive one share of Company common stock or the cash equivalent.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stock units settle in cash or shares of Company common stock following termination of employment or during a specified future year in accordance with Executive Deferral and Stock Match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 Seidel, as Attorney-in-Fact for Robert M. VanHimbergen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4169" TargetMode="External"/><Relationship Id="rId5" Type="http://schemas.openxmlformats.org/officeDocument/2006/relationships/hyperlink" Target="http://www.sec.gov/cgi-bin/browse-edgar?action=getcompany&amp;CIK=00017391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3878</Characters>
  <CharactersWithSpaces>4513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